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A65" w:rsidRPr="00F7167C" w:rsidRDefault="00230A65" w:rsidP="00230A6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30A65">
      <w:pPr>
        <w:jc w:val="right"/>
        <w:rPr>
          <w:sz w:val="26"/>
          <w:szCs w:val="26"/>
        </w:rPr>
      </w:pPr>
    </w:p>
    <w:p w:rsidR="00230A65" w:rsidRDefault="00230A65" w:rsidP="00230A6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30A65" w:rsidRDefault="00230A65" w:rsidP="00230A6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30A65" w:rsidRDefault="00230A65" w:rsidP="00230A65">
      <w:pPr>
        <w:jc w:val="center"/>
        <w:rPr>
          <w:b/>
          <w:sz w:val="26"/>
          <w:szCs w:val="26"/>
        </w:rPr>
      </w:pPr>
    </w:p>
    <w:p w:rsidR="00230A65" w:rsidRDefault="00230A65" w:rsidP="00230A6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30A65" w:rsidRDefault="00230A65" w:rsidP="00230A65">
      <w:pPr>
        <w:jc w:val="center"/>
        <w:rPr>
          <w:b/>
          <w:sz w:val="26"/>
          <w:szCs w:val="26"/>
        </w:rPr>
      </w:pPr>
    </w:p>
    <w:p w:rsidR="00230A65" w:rsidRDefault="00230A65" w:rsidP="00230A6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30A65" w:rsidRDefault="00230A65" w:rsidP="00230A65">
      <w:pPr>
        <w:jc w:val="center"/>
        <w:rPr>
          <w:sz w:val="26"/>
          <w:szCs w:val="26"/>
        </w:rPr>
      </w:pPr>
    </w:p>
    <w:p w:rsidR="00230A65" w:rsidRDefault="00230A65" w:rsidP="00230A65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1A79CF">
        <w:rPr>
          <w:sz w:val="26"/>
          <w:szCs w:val="26"/>
        </w:rPr>
        <w:t xml:space="preserve"> 12.10.2018                                                                                                № 916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1A79CF">
        <w:rPr>
          <w:sz w:val="26"/>
          <w:szCs w:val="26"/>
        </w:rPr>
        <w:t xml:space="preserve">                               </w:t>
      </w:r>
    </w:p>
    <w:p w:rsidR="00230A65" w:rsidRDefault="00230A65" w:rsidP="00230A65">
      <w:pPr>
        <w:jc w:val="both"/>
        <w:rPr>
          <w:sz w:val="26"/>
          <w:szCs w:val="26"/>
        </w:rPr>
      </w:pPr>
    </w:p>
    <w:p w:rsidR="00230A65" w:rsidRDefault="00230A65" w:rsidP="00230A6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октября 2016 года № 1008 «О межведомственной рабочей группе по работе с задолженностью по платежам в бюджеты и государственные внебюджетные фонды и легализации объектов налогообложения»</w:t>
      </w:r>
    </w:p>
    <w:p w:rsidR="00230A65" w:rsidRDefault="00230A65" w:rsidP="00230A65">
      <w:pPr>
        <w:jc w:val="center"/>
        <w:rPr>
          <w:sz w:val="26"/>
          <w:szCs w:val="26"/>
        </w:rPr>
      </w:pPr>
    </w:p>
    <w:p w:rsidR="00230A65" w:rsidRDefault="00230A65" w:rsidP="00230A65">
      <w:pPr>
        <w:jc w:val="center"/>
        <w:rPr>
          <w:sz w:val="26"/>
          <w:szCs w:val="26"/>
        </w:rPr>
      </w:pPr>
    </w:p>
    <w:p w:rsidR="00230A65" w:rsidRDefault="00230A65" w:rsidP="00230A6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230A65" w:rsidRDefault="00230A65" w:rsidP="00230A6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30A65" w:rsidRDefault="00230A65" w:rsidP="00230A6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>Пункт 3.5 раздела 3 Положения о межведомственной рабочей группе по работе с задолженностью по платежам в бюджеты и легализации объектов налогообложения, утвержденного постановлением администрации района от 27 октября 2016 года № 1008 «О межведомственной рабочей группе по работе с задолженностью по платежам в бюджеты и государственные внебюджетные фонды и легализации объектов налогообложения» дополнить абзацем пятым следующего содержания:</w:t>
      </w:r>
      <w:proofErr w:type="gramEnd"/>
    </w:p>
    <w:p w:rsidR="00230A65" w:rsidRDefault="00230A65" w:rsidP="00230A6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«-по обеспечению соблюдения предусмотренного трудовым законодательством запрета на ограничение трудовых прав и свобод граждан в зависимости от возраста, а также реализации мер, направленных на сохранение и развитие занятости граждан </w:t>
      </w:r>
      <w:proofErr w:type="spellStart"/>
      <w:r>
        <w:rPr>
          <w:sz w:val="26"/>
          <w:szCs w:val="26"/>
        </w:rPr>
        <w:t>предпенсионного</w:t>
      </w:r>
      <w:proofErr w:type="spellEnd"/>
      <w:r>
        <w:rPr>
          <w:sz w:val="26"/>
          <w:szCs w:val="26"/>
        </w:rPr>
        <w:t xml:space="preserve"> возраста».</w:t>
      </w:r>
    </w:p>
    <w:p w:rsidR="00230A65" w:rsidRDefault="00230A65" w:rsidP="00230A6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</w:t>
      </w:r>
      <w:r w:rsidR="00B3573D">
        <w:rPr>
          <w:sz w:val="26"/>
          <w:szCs w:val="26"/>
        </w:rPr>
        <w:t xml:space="preserve"> после его официального опублик</w:t>
      </w:r>
      <w:r>
        <w:rPr>
          <w:sz w:val="26"/>
          <w:szCs w:val="26"/>
        </w:rPr>
        <w:t>ования.</w:t>
      </w:r>
    </w:p>
    <w:p w:rsidR="00B3573D" w:rsidRDefault="00B3573D" w:rsidP="00230A65">
      <w:pPr>
        <w:jc w:val="both"/>
        <w:rPr>
          <w:sz w:val="26"/>
          <w:szCs w:val="26"/>
        </w:rPr>
      </w:pPr>
    </w:p>
    <w:p w:rsidR="00B3573D" w:rsidRDefault="00B3573D" w:rsidP="00230A65">
      <w:pPr>
        <w:jc w:val="both"/>
        <w:rPr>
          <w:sz w:val="26"/>
          <w:szCs w:val="26"/>
        </w:rPr>
      </w:pPr>
    </w:p>
    <w:p w:rsidR="00B3573D" w:rsidRDefault="00B3573D" w:rsidP="00230A6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A79CF" w:rsidTr="001A79CF">
        <w:tc>
          <w:tcPr>
            <w:tcW w:w="4785" w:type="dxa"/>
          </w:tcPr>
          <w:p w:rsidR="001A79CF" w:rsidRDefault="001A79CF" w:rsidP="00230A6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1A79CF" w:rsidRDefault="001A79CF" w:rsidP="00230A65">
            <w:pPr>
              <w:jc w:val="both"/>
              <w:rPr>
                <w:sz w:val="26"/>
                <w:szCs w:val="26"/>
              </w:rPr>
            </w:pPr>
          </w:p>
          <w:p w:rsidR="001A79CF" w:rsidRDefault="001A79CF" w:rsidP="00230A65">
            <w:pPr>
              <w:jc w:val="both"/>
              <w:rPr>
                <w:sz w:val="26"/>
                <w:szCs w:val="26"/>
              </w:rPr>
            </w:pPr>
          </w:p>
          <w:p w:rsidR="001A79CF" w:rsidRDefault="001A79CF" w:rsidP="00230A65">
            <w:pPr>
              <w:jc w:val="both"/>
              <w:rPr>
                <w:sz w:val="26"/>
                <w:szCs w:val="26"/>
              </w:rPr>
            </w:pPr>
          </w:p>
          <w:p w:rsidR="001A79CF" w:rsidRDefault="001A79CF" w:rsidP="00230A65">
            <w:pPr>
              <w:jc w:val="both"/>
              <w:rPr>
                <w:sz w:val="26"/>
                <w:szCs w:val="26"/>
              </w:rPr>
            </w:pPr>
          </w:p>
          <w:p w:rsidR="001A79CF" w:rsidRDefault="001A79CF" w:rsidP="00230A65">
            <w:pPr>
              <w:jc w:val="both"/>
              <w:rPr>
                <w:sz w:val="26"/>
                <w:szCs w:val="26"/>
              </w:rPr>
            </w:pPr>
          </w:p>
          <w:p w:rsidR="001A79CF" w:rsidRDefault="001A79CF" w:rsidP="00230A6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B3573D" w:rsidRDefault="00B3573D" w:rsidP="00230A65">
      <w:pPr>
        <w:jc w:val="both"/>
        <w:rPr>
          <w:sz w:val="26"/>
          <w:szCs w:val="26"/>
        </w:rPr>
      </w:pPr>
    </w:p>
    <w:p w:rsidR="00B3573D" w:rsidRDefault="00B3573D" w:rsidP="00230A65">
      <w:pPr>
        <w:jc w:val="both"/>
        <w:rPr>
          <w:sz w:val="26"/>
          <w:szCs w:val="26"/>
        </w:rPr>
      </w:pPr>
    </w:p>
    <w:p w:rsidR="00B3573D" w:rsidRDefault="00B3573D" w:rsidP="00230A65">
      <w:pPr>
        <w:jc w:val="both"/>
        <w:rPr>
          <w:sz w:val="26"/>
          <w:szCs w:val="26"/>
        </w:rPr>
      </w:pPr>
    </w:p>
    <w:p w:rsidR="00B3573D" w:rsidRPr="00230A65" w:rsidRDefault="00B3573D" w:rsidP="00230A65">
      <w:pPr>
        <w:jc w:val="both"/>
        <w:rPr>
          <w:sz w:val="26"/>
          <w:szCs w:val="26"/>
        </w:rPr>
      </w:pPr>
    </w:p>
    <w:sectPr w:rsidR="00B3573D" w:rsidRPr="00230A65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30A65"/>
    <w:rsid w:val="001A79CF"/>
    <w:rsid w:val="00230A65"/>
    <w:rsid w:val="003F1748"/>
    <w:rsid w:val="006704C1"/>
    <w:rsid w:val="00B3573D"/>
    <w:rsid w:val="00EB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A6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9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2018-10-01T10:00:00Z</dcterms:created>
  <dcterms:modified xsi:type="dcterms:W3CDTF">2018-10-15T05:48:00Z</dcterms:modified>
</cp:coreProperties>
</file>